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le"/>
      </w:pPr>
      <w:r>
        <w:rPr>
          <w:rFonts w:ascii="Helvetica Light" w:hAnsi="Helvetica Light"/>
          <w:b w:val="0"/>
          <w:bCs w:val="0"/>
          <w:rtl w:val="0"/>
          <w:lang w:val="en-US"/>
        </w:rPr>
        <w:t>MNSA meeting: New Grad Panel &amp; Guide Dog foundation</w:t>
      </w:r>
    </w:p>
    <w:p>
      <w:pPr>
        <w:pStyle w:val="Body"/>
      </w:pPr>
      <w:r>
        <w:rPr>
          <w:rFonts w:ascii="Helvetica" w:hAnsi="Helvetica"/>
          <w:b w:val="1"/>
          <w:bCs w:val="1"/>
          <w:rtl w:val="0"/>
          <w:lang w:val="en-US"/>
        </w:rPr>
        <w:t>Present</w:t>
      </w:r>
      <w:r>
        <w:rPr>
          <w:rFonts w:ascii="Helvetica Light" w:hAnsi="Helvetica Light"/>
          <w:rtl w:val="0"/>
          <w:lang w:val="en-US"/>
        </w:rPr>
        <w:t xml:space="preserve">: Julia, Rachel, Teresa, Steph, Emily, Sam, Jackie, Dr. Moore, Professor </w:t>
      </w:r>
      <w:r>
        <w:rPr>
          <w:rFonts w:ascii="Helvetica Light" w:hAnsi="Helvetica Light"/>
          <w:rtl w:val="0"/>
        </w:rPr>
        <w:t>Mullarkey</w:t>
      </w:r>
      <w:r>
        <w:rPr>
          <w:rFonts w:ascii="Helvetica Light" w:hAnsi="Helvetica Light"/>
          <w:rtl w:val="0"/>
          <w:lang w:val="en-US"/>
        </w:rPr>
        <w:t xml:space="preserve"> </w:t>
      </w:r>
    </w:p>
    <w:p>
      <w:pPr>
        <w:pStyle w:val="Body"/>
      </w:pPr>
      <w:r>
        <w:rPr>
          <w:rFonts w:ascii="Helvetica" w:hAnsi="Helvetica"/>
          <w:b w:val="1"/>
          <w:bCs w:val="1"/>
          <w:rtl w:val="0"/>
          <w:lang w:val="en-US"/>
        </w:rPr>
        <w:t>Not present</w:t>
      </w:r>
      <w:r>
        <w:rPr>
          <w:rFonts w:ascii="Helvetica Light" w:hAnsi="Helvetica Light"/>
          <w:rtl w:val="0"/>
          <w:lang w:val="en-US"/>
        </w:rPr>
        <w:t>: Phil, Kaitlyn (</w:t>
      </w:r>
      <w:r>
        <w:rPr>
          <w:rFonts w:ascii="Helvetica Light" w:hAnsi="Helvetica Light"/>
          <w:rtl w:val="0"/>
          <w:lang w:val="en-US"/>
        </w:rPr>
        <w:t>both at clinical, excused)</w:t>
      </w:r>
      <w:r>
        <w:rPr>
          <w:rFonts w:ascii="Helvetica Light" w:hAnsi="Helvetica Light"/>
          <w:rtl w:val="0"/>
          <w:lang w:val="en-US"/>
        </w:rPr>
        <w:t>, Doctor Emeghebo</w:t>
      </w:r>
    </w:p>
    <w:p>
      <w:pPr>
        <w:pStyle w:val="Body"/>
      </w:pPr>
      <w:r>
        <w:rPr>
          <w:rFonts w:ascii="Helvetica Light" w:hAnsi="Helvetica Light"/>
          <w:rtl w:val="0"/>
          <w:lang w:val="en-US"/>
        </w:rPr>
        <w:t xml:space="preserve">Number Present: </w:t>
      </w:r>
      <w:r>
        <w:rPr>
          <w:rFonts w:ascii="Helvetica Light" w:cs="Helvetica Light" w:hAnsi="Helvetica Light" w:eastAsia="Helvetica Ligh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344757</wp:posOffset>
            </wp:positionV>
            <wp:extent cx="2799997" cy="20999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64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97" cy="2099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Light" w:hAnsi="Helvetica Light"/>
          <w:rtl w:val="0"/>
          <w:lang w:val="en-US"/>
        </w:rPr>
        <w:t>34</w:t>
      </w:r>
      <w:r>
        <w:rPr>
          <w:rFonts w:ascii="Helvetica Light" w:cs="Helvetica Light" w:hAnsi="Helvetica Light" w:eastAsia="Helvetica Light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2965449</wp:posOffset>
            </wp:positionH>
            <wp:positionV relativeFrom="line">
              <wp:posOffset>344757</wp:posOffset>
            </wp:positionV>
            <wp:extent cx="2799997" cy="209999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638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97" cy="2099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Light" w:hAnsi="Helvetica Light"/>
          <w:rtl w:val="0"/>
          <w:lang w:val="en-US"/>
        </w:rPr>
        <w:t xml:space="preserve"> </w:t>
      </w:r>
    </w:p>
    <w:p>
      <w:pPr>
        <w:pStyle w:val="Body"/>
      </w:pPr>
      <w:r>
        <w:rPr>
          <w:rFonts w:ascii="Helvetica Light" w:hAnsi="Helvetica Light"/>
          <w:rtl w:val="0"/>
          <w:lang w:val="en-US"/>
        </w:rPr>
        <w:t>Speakers:</w:t>
      </w:r>
    </w:p>
    <w:p>
      <w:pPr>
        <w:pStyle w:val="Body"/>
        <w:numPr>
          <w:ilvl w:val="0"/>
          <w:numId w:val="2"/>
        </w:numPr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Bob- South Nassau (ED resident)</w:t>
      </w:r>
    </w:p>
    <w:p>
      <w:pPr>
        <w:pStyle w:val="Body"/>
        <w:numPr>
          <w:ilvl w:val="0"/>
          <w:numId w:val="2"/>
        </w:numPr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Hope- New York P</w:t>
      </w:r>
      <w:r>
        <w:rPr>
          <w:rFonts w:ascii="Helvetica Light" w:hAnsi="Helvetica Light"/>
          <w:rtl w:val="0"/>
        </w:rPr>
        <w:t>resbyterian</w:t>
      </w:r>
      <w:r>
        <w:rPr>
          <w:rFonts w:ascii="Helvetica Light" w:hAnsi="Helvetica Light"/>
          <w:rtl w:val="0"/>
          <w:lang w:val="en-US"/>
        </w:rPr>
        <w:t xml:space="preserve"> (</w:t>
      </w:r>
      <w:r>
        <w:rPr>
          <w:rFonts w:ascii="Helvetica Light" w:hAnsi="Helvetica Light"/>
          <w:rtl w:val="0"/>
          <w:lang w:val="en-US"/>
        </w:rPr>
        <w:t>Med Surg/ Telemetry unit</w:t>
      </w:r>
      <w:r>
        <w:rPr>
          <w:rFonts w:ascii="Helvetica Light" w:hAnsi="Helvetica Light"/>
          <w:rtl w:val="0"/>
          <w:lang w:val="en-US"/>
        </w:rPr>
        <w:t>)</w:t>
      </w:r>
    </w:p>
    <w:p>
      <w:pPr>
        <w:pStyle w:val="Body"/>
        <w:numPr>
          <w:ilvl w:val="0"/>
          <w:numId w:val="2"/>
        </w:numPr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Katie-Sloan Kettering Memorial Hospital  (Bone Marrow transplant floor) </w:t>
      </w:r>
    </w:p>
    <w:p>
      <w:pPr>
        <w:pStyle w:val="Body"/>
        <w:numPr>
          <w:ilvl w:val="0"/>
          <w:numId w:val="2"/>
        </w:numPr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Toni-</w:t>
      </w:r>
      <w:r>
        <w:rPr>
          <w:rFonts w:ascii="Helvetica Light" w:hAnsi="Helvetica Light"/>
          <w:rtl w:val="0"/>
          <w:lang w:val="en-US"/>
        </w:rPr>
        <w:t>New York Presbyterian</w:t>
      </w:r>
      <w:r>
        <w:rPr>
          <w:rFonts w:ascii="Helvetica Light" w:hAnsi="Helvetica Light"/>
          <w:rtl w:val="0"/>
          <w:lang w:val="en-US"/>
        </w:rPr>
        <w:t xml:space="preserve"> (Labor and Delivery)</w:t>
      </w:r>
    </w:p>
    <w:p>
      <w:pPr>
        <w:pStyle w:val="Body"/>
        <w:numPr>
          <w:ilvl w:val="0"/>
          <w:numId w:val="2"/>
        </w:numPr>
        <w:rPr>
          <w:rFonts w:ascii="Helvetica Light" w:hAnsi="Helvetica Light"/>
          <w:lang w:val="da-DK"/>
        </w:rPr>
      </w:pPr>
      <w:r>
        <w:rPr>
          <w:rFonts w:ascii="Helvetica Light" w:hAnsi="Helvetica Light"/>
          <w:rtl w:val="0"/>
          <w:lang w:val="da-DK"/>
        </w:rPr>
        <w:t>Christina</w:t>
      </w:r>
      <w:r>
        <w:rPr>
          <w:rFonts w:ascii="Helvetica Light" w:hAnsi="Helvetica Light"/>
          <w:rtl w:val="0"/>
          <w:lang w:val="en-US"/>
        </w:rPr>
        <w:t xml:space="preserve">-Saint Francis (Cardio Step down unit) </w:t>
      </w:r>
    </w:p>
    <w:p>
      <w:pPr>
        <w:pStyle w:val="Body"/>
      </w:pPr>
      <w:r>
        <w:rPr>
          <w:b w:val="1"/>
          <w:bCs w:val="1"/>
          <w:sz w:val="28"/>
          <w:szCs w:val="28"/>
          <w:rtl w:val="0"/>
          <w:lang w:val="en-US"/>
        </w:rPr>
        <w:t>What tips do you have when preparing for the NCLEX?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Take a prep course (Kaplan, Hearst), do tons and tons of questions, do not get discouraged if you don't pass the first time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Don</w:t>
      </w:r>
      <w:r>
        <w:rPr>
          <w:rFonts w:ascii="Helvetica Light" w:hAnsi="Helvetica Light" w:hint="default"/>
          <w:rtl w:val="0"/>
          <w:lang w:val="en-US"/>
        </w:rPr>
        <w:t>’</w:t>
      </w:r>
      <w:r>
        <w:rPr>
          <w:rFonts w:ascii="Helvetica Light" w:hAnsi="Helvetica Light"/>
          <w:rtl w:val="0"/>
          <w:lang w:val="en-US"/>
        </w:rPr>
        <w:t xml:space="preserve">t be so focused with content, do it for the ones you are not confident about.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Stay positive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If money is tight use your resources.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Understand why you're getting the practice questions correct / incorrect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Lippincott's Q&amp;A Review for NCLEX-RN</w:t>
      </w:r>
      <w:r>
        <w:rPr>
          <w:rFonts w:ascii="Helvetica Light" w:hAnsi="Helvetica Light"/>
          <w:rtl w:val="0"/>
          <w:lang w:val="en-US"/>
        </w:rPr>
        <w:t xml:space="preserve"> is the most realistic book.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What was the biggest challenges about getting a job?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Make contacts way before you're ready to start searching.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Be proactive, write thank you notes.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Pick up part time Nursing Assistant jobs/nurse Externships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Have resume ready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Come with questions to your interview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Treat your preceptorship like it is your job interview.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Build up your resume.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Work as hard as you can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Molloy has great resources. ex: Career Center 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Biggest Challenges of being a new nurse?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Doesn't matter how book smart you are, honestly. 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Being a night nurse, the constant exhaustion. 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Write small little notes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Being very overwhelmed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Talk to other new nurses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Don</w:t>
      </w:r>
      <w:r>
        <w:rPr>
          <w:rFonts w:ascii="Helvetica Light" w:hAnsi="Helvetica Light" w:hint="default"/>
          <w:rtl w:val="0"/>
          <w:lang w:val="en-US"/>
        </w:rPr>
        <w:t>’</w:t>
      </w:r>
      <w:r>
        <w:rPr>
          <w:rFonts w:ascii="Helvetica Light" w:hAnsi="Helvetica Light"/>
          <w:rtl w:val="0"/>
          <w:lang w:val="en-US"/>
        </w:rPr>
        <w:t>t be afraid to ask questions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Take it day by day, have a smile always. 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Everyday you learn something new. </w:t>
      </w:r>
    </w:p>
    <w:p>
      <w:pPr>
        <w:pStyle w:val="Body"/>
        <w:numPr>
          <w:ilvl w:val="0"/>
          <w:numId w:val="5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When you do ATI</w:t>
      </w:r>
      <w:r>
        <w:rPr>
          <w:rFonts w:ascii="Helvetica Light" w:hAnsi="Helvetica Light" w:hint="default"/>
          <w:rtl w:val="0"/>
          <w:lang w:val="en-US"/>
        </w:rPr>
        <w:t>’</w:t>
      </w:r>
      <w:r>
        <w:rPr>
          <w:rFonts w:ascii="Helvetica Light" w:hAnsi="Helvetica Light"/>
          <w:rtl w:val="0"/>
          <w:lang w:val="en-US"/>
        </w:rPr>
        <w:t>s pay attention to the questions that ask who to take care of first.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How early on should I start doing questions?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Always keep your mind going, constantly.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The textbook questions help at the end of the day.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The ATI books are great.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They're putting lots of specialty questions on the NCLEX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Do not over study, take breaks. 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When doing NCLEX questions how did you organize yourself?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Focusing on the subject rather than body systems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RN entertainment, board game that helps with the rational.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Start with content that you're unsure with. 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How long did you wait to take your boards after taking the review course?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2-3 weeks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You don't want to take time off.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Keep the NCLEX date do not change it, its a goal. </w:t>
      </w:r>
    </w:p>
    <w:p>
      <w:pPr>
        <w:pStyle w:val="Body"/>
        <w:spacing w:line="240" w:lineRule="auto"/>
      </w:pPr>
      <w:r>
        <w:rPr>
          <w:b w:val="1"/>
          <w:bCs w:val="1"/>
          <w:sz w:val="28"/>
          <w:szCs w:val="28"/>
          <w:rtl w:val="0"/>
          <w:lang w:val="en-US"/>
        </w:rPr>
        <w:t>What do you do about driving and snow?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Rely on commuting with friends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ALWAYS bring snacks so you don't sleep at the wheel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When it snows you're still going to work. Pack a bag.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Discounted parking fee at hospitals.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Switch with friends, it is better to switch than call out when its snowin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4938852</wp:posOffset>
            </wp:positionH>
            <wp:positionV relativeFrom="page">
              <wp:posOffset>5029200</wp:posOffset>
            </wp:positionV>
            <wp:extent cx="2278810" cy="17091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650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10" cy="1709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Light" w:hAnsi="Helvetica Light"/>
          <w:rtl w:val="0"/>
          <w:lang w:val="en-US"/>
        </w:rPr>
        <w:t xml:space="preserve">g. </w:t>
      </w:r>
    </w:p>
    <w:p>
      <w:pPr>
        <w:pStyle w:val="Body"/>
        <w:spacing w:line="240" w:lineRule="auto"/>
      </w:pPr>
    </w:p>
    <w:p>
      <w:pPr>
        <w:pStyle w:val="Body"/>
        <w:spacing w:line="240" w:lineRule="auto"/>
      </w:pPr>
      <w:r>
        <w:rPr>
          <w:b w:val="1"/>
          <w:bCs w:val="1"/>
          <w:rtl w:val="0"/>
          <w:lang w:val="en-US"/>
        </w:rPr>
        <w:t>Guide Dog Foundation: Joan Lee</w:t>
      </w:r>
    </w:p>
    <w:p>
      <w:pPr>
        <w:pStyle w:val="Body"/>
        <w:numPr>
          <w:ilvl w:val="0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There are different types of blindness, total, partial. </w:t>
      </w:r>
    </w:p>
    <w:p>
      <w:pPr>
        <w:pStyle w:val="Body"/>
        <w:numPr>
          <w:ilvl w:val="0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Visually impaired since the age of 18</w:t>
      </w:r>
    </w:p>
    <w:p>
      <w:pPr>
        <w:pStyle w:val="Body"/>
        <w:numPr>
          <w:ilvl w:val="0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Before getting a dog, the visually impaired person must be cane trained </w:t>
      </w:r>
    </w:p>
    <w:p>
      <w:pPr>
        <w:pStyle w:val="Body"/>
        <w:numPr>
          <w:ilvl w:val="0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A bystander can not touch the dog, the dogs are working </w:t>
      </w:r>
    </w:p>
    <w:p>
      <w:pPr>
        <w:pStyle w:val="Body"/>
        <w:numPr>
          <w:ilvl w:val="0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" w:hAnsi="Helvetica"/>
          <w:b w:val="1"/>
          <w:bCs w:val="1"/>
          <w:rtl w:val="0"/>
          <w:lang w:val="en-US"/>
        </w:rPr>
        <w:t>Can the dog go to two the hospital with you?</w:t>
      </w:r>
      <w:r>
        <w:rPr>
          <w:rFonts w:ascii="Helvetica Light" w:cs="Helvetica Light" w:hAnsi="Helvetica Light" w:eastAsia="Helvetica Light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4103757</wp:posOffset>
            </wp:positionH>
            <wp:positionV relativeFrom="line">
              <wp:posOffset>461593</wp:posOffset>
            </wp:positionV>
            <wp:extent cx="2107500" cy="15806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64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00" cy="158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1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No, only if she visits a patient </w:t>
      </w:r>
    </w:p>
    <w:p>
      <w:pPr>
        <w:pStyle w:val="Body"/>
        <w:numPr>
          <w:ilvl w:val="1"/>
          <w:numId w:val="6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If she is the patient, the dog has to be walked etc.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The insurance company does not pay for this.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 xml:space="preserve">Cane training is done by a class 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Networking helps with the process of becoming cane trained</w:t>
      </w:r>
    </w:p>
    <w:p>
      <w:pPr>
        <w:pStyle w:val="Body"/>
        <w:numPr>
          <w:ilvl w:val="0"/>
          <w:numId w:val="3"/>
        </w:numPr>
        <w:spacing w:line="240" w:lineRule="auto"/>
        <w:rPr>
          <w:rFonts w:ascii="Helvetica Light" w:hAnsi="Helvetica Light"/>
          <w:lang w:val="en-US"/>
        </w:rPr>
      </w:pPr>
      <w:r>
        <w:rPr>
          <w:rFonts w:ascii="Helvetica Light" w:hAnsi="Helvetica Light"/>
          <w:rtl w:val="0"/>
          <w:lang w:val="en-US"/>
        </w:rPr>
        <w:t>To train a dog it costs 50,000</w:t>
      </w:r>
    </w:p>
    <w:sectPr>
      <w:headerReference w:type="default" r:id="rId8"/>
      <w:footerReference w:type="default" r:id="rId9"/>
      <w:pgSz w:w="12240" w:h="15840" w:orient="portrait"/>
      <w:pgMar w:top="1598" w:right="1440" w:bottom="1440" w:left="1440" w:header="1195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680"/>
        <w:tab w:val="right" w:pos="9360"/>
        <w:tab w:val="clear" w:pos="9020"/>
      </w:tabs>
      <w:jc w:val="lef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680"/>
        <w:tab w:val="right" w:pos="9360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DATE \@ "dddd, MMMM d, y" </w:instrText>
    </w:r>
    <w:r>
      <w:rPr/>
      <w:fldChar w:fldCharType="separate" w:fldLock="0"/>
    </w:r>
    <w:r>
      <w:rPr>
        <w:rtl w:val="0"/>
        <w:lang w:val="en-US"/>
      </w:rPr>
      <w:t>Tuesday, March 1, 2016</w:t>
    </w:r>
    <w:r>
      <w:rPr/>
      <w:fldChar w:fldCharType="end" w:fldLock="1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Dash"/>
  </w:abstractNum>
  <w:abstractNum w:abstractNumId="1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Bullet"/>
  </w:abstractNum>
  <w:abstractNum w:abstractNumId="4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14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93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7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28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7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6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itle">
    <w:name w:val="Title"/>
    <w:next w:val="Body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00" w:after="20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numbering" w:styleId="Dash">
    <w:name w:val="Dash"/>
    <w:pPr>
      <w:numPr>
        <w:numId w:val="1"/>
      </w:numPr>
    </w:pPr>
  </w:style>
  <w:style w:type="numbering" w:styleId="Bullet">
    <w:name w:val="Bullet"/>
    <w:pPr>
      <w:numPr>
        <w:numId w:val="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00_Note-taking">
  <a:themeElements>
    <a:clrScheme name="00_Note-taking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00_Note-taking">
      <a:majorFont>
        <a:latin typeface="Helvetica"/>
        <a:ea typeface="Helvetica"/>
        <a:cs typeface="Helvetica"/>
      </a:majorFont>
      <a:minorFont>
        <a:latin typeface="Helvetica Light"/>
        <a:ea typeface="Helvetica Light"/>
        <a:cs typeface="Helvetica Light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